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F06FF" w14:textId="72FCAF4A" w:rsidR="00593543" w:rsidRDefault="00AB5524"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5A7AAB">
        <w:rPr>
          <w:rFonts w:ascii="Invesco Interstate Bold" w:hAnsi="Invesco Interstate Bold"/>
          <w:b/>
          <w:bCs/>
          <w:sz w:val="28"/>
          <w:szCs w:val="28"/>
        </w:rPr>
        <w:t>Evropské akciové trhy rostou, zatímco americký akciový trh klesá</w:t>
      </w:r>
    </w:p>
    <w:p w14:paraId="6E80B62B" w14:textId="77777777" w:rsidR="001F6A31" w:rsidRPr="00F26CC7" w:rsidRDefault="001F6A31" w:rsidP="00916408">
      <w:pPr>
        <w:spacing w:before="100" w:beforeAutospacing="1" w:afterAutospacing="1" w:line="240" w:lineRule="auto"/>
        <w:jc w:val="both"/>
        <w:rPr>
          <w:rFonts w:ascii="Invesco Interstate Light" w:eastAsiaTheme="minorEastAsia" w:hAnsi="Invesco Interstate Light"/>
          <w:i/>
          <w:sz w:val="22"/>
          <w:szCs w:val="22"/>
        </w:rPr>
      </w:pPr>
      <w:r w:rsidRPr="00F26CC7">
        <w:rPr>
          <w:rFonts w:ascii="Invesco Interstate Light" w:eastAsiaTheme="minorEastAsia" w:hAnsi="Invesco Interstate Light"/>
          <w:i/>
          <w:sz w:val="22"/>
          <w:szCs w:val="22"/>
        </w:rPr>
        <w:t xml:space="preserve">Komentář Kristiny </w:t>
      </w:r>
      <w:proofErr w:type="spellStart"/>
      <w:r w:rsidRPr="00F26CC7">
        <w:rPr>
          <w:rFonts w:ascii="Invesco Interstate Light" w:eastAsiaTheme="minorEastAsia" w:hAnsi="Invesco Interstate Light"/>
          <w:i/>
          <w:sz w:val="22"/>
          <w:szCs w:val="22"/>
        </w:rPr>
        <w:t>Hooper</w:t>
      </w:r>
      <w:proofErr w:type="spellEnd"/>
      <w:r w:rsidRPr="00F26CC7">
        <w:rPr>
          <w:rFonts w:ascii="Invesco Interstate Light" w:eastAsiaTheme="minorEastAsia" w:hAnsi="Invesco Interstate Light"/>
          <w:i/>
          <w:sz w:val="22"/>
          <w:szCs w:val="22"/>
        </w:rPr>
        <w:t>, vedoucí straté</w:t>
      </w:r>
      <w:r w:rsidR="00452739" w:rsidRPr="00F26CC7">
        <w:rPr>
          <w:rFonts w:ascii="Invesco Interstate Light" w:eastAsiaTheme="minorEastAsia" w:hAnsi="Invesco Interstate Light"/>
          <w:i/>
          <w:sz w:val="22"/>
          <w:szCs w:val="22"/>
        </w:rPr>
        <w:t>žky</w:t>
      </w:r>
      <w:r w:rsidR="00106C3B" w:rsidRPr="00F26CC7">
        <w:rPr>
          <w:rFonts w:ascii="Invesco Interstate Light" w:eastAsiaTheme="minorEastAsia" w:hAnsi="Invesco Interstate Light"/>
          <w:i/>
          <w:sz w:val="22"/>
          <w:szCs w:val="22"/>
        </w:rPr>
        <w:t xml:space="preserve"> </w:t>
      </w:r>
      <w:r w:rsidRPr="00F26CC7">
        <w:rPr>
          <w:rFonts w:ascii="Invesco Interstate Light" w:eastAsiaTheme="minorEastAsia" w:hAnsi="Invesco Interstate Light"/>
          <w:i/>
          <w:sz w:val="22"/>
          <w:szCs w:val="22"/>
        </w:rPr>
        <w:t xml:space="preserve">pro globální trhy, </w:t>
      </w:r>
      <w:proofErr w:type="spellStart"/>
      <w:r w:rsidRPr="00F26CC7">
        <w:rPr>
          <w:rFonts w:ascii="Invesco Interstate Light" w:eastAsiaTheme="minorEastAsia" w:hAnsi="Invesco Interstate Light"/>
          <w:i/>
          <w:sz w:val="22"/>
          <w:szCs w:val="22"/>
        </w:rPr>
        <w:t>Invesco</w:t>
      </w:r>
      <w:proofErr w:type="spellEnd"/>
      <w:r w:rsidRPr="00F26CC7">
        <w:rPr>
          <w:rFonts w:ascii="Invesco Interstate Light" w:eastAsiaTheme="minorEastAsia" w:hAnsi="Invesco Interstate Light"/>
          <w:i/>
          <w:sz w:val="22"/>
          <w:szCs w:val="22"/>
        </w:rPr>
        <w:t xml:space="preserve"> Ltd.</w:t>
      </w:r>
      <w:r w:rsidR="00106C3B" w:rsidRPr="00F26CC7">
        <w:rPr>
          <w:rFonts w:ascii="Invesco Interstate Light" w:eastAsiaTheme="minorEastAsia" w:hAnsi="Invesco Interstate Light"/>
          <w:i/>
          <w:sz w:val="22"/>
          <w:szCs w:val="22"/>
        </w:rPr>
        <w:t xml:space="preserve"> </w:t>
      </w:r>
    </w:p>
    <w:p w14:paraId="5AD972FA" w14:textId="3C5716C0" w:rsidR="00083997" w:rsidRPr="005A7AAB" w:rsidRDefault="005A7AAB" w:rsidP="00F26CC7">
      <w:pPr>
        <w:spacing w:line="360" w:lineRule="auto"/>
        <w:jc w:val="both"/>
        <w:rPr>
          <w:rFonts w:ascii="Invesco Interstate Light" w:hAnsi="Invesco Interstate Light"/>
          <w:b/>
          <w:bCs/>
          <w:sz w:val="22"/>
          <w:szCs w:val="22"/>
        </w:rPr>
      </w:pPr>
      <w:r w:rsidRPr="005A7AAB">
        <w:rPr>
          <w:rFonts w:ascii="Invesco Interstate Light" w:eastAsiaTheme="minorEastAsia" w:hAnsi="Invesco Interstate Light"/>
          <w:sz w:val="22"/>
          <w:szCs w:val="22"/>
        </w:rPr>
        <w:t xml:space="preserve">V roce 2025 jsme zatím ve výkonnosti trhu zaznamenali velkou změnu. Index MSCI USA, který v loňském roce vykázal výnos 23,4 %, letos zatím získal pouze 1,22 %. Naopak evropské indexy po loňských mírných ziscích letos </w:t>
      </w:r>
      <w:r w:rsidR="00AB5524">
        <w:rPr>
          <w:rFonts w:ascii="Invesco Interstate Light" w:eastAsiaTheme="minorEastAsia" w:hAnsi="Invesco Interstate Light"/>
          <w:sz w:val="22"/>
          <w:szCs w:val="22"/>
        </w:rPr>
        <w:t>nasbíraly</w:t>
      </w:r>
      <w:r w:rsidRPr="005A7AAB">
        <w:rPr>
          <w:rFonts w:ascii="Invesco Interstate Light" w:eastAsiaTheme="minorEastAsia" w:hAnsi="Invesco Interstate Light"/>
          <w:sz w:val="22"/>
          <w:szCs w:val="22"/>
        </w:rPr>
        <w:t xml:space="preserve"> silné relativní výnosy. Například index MSCI France, který měl loni vlastně záporný výnos, prozatím vykázal dvouciferný zisk. Co tedy stojí za tímto trendem? Podle mne existují čtyři hlavní faktory, které vedly k lepšímu výkonu evropských akcií:</w:t>
      </w:r>
    </w:p>
    <w:p w14:paraId="3A288C49" w14:textId="77777777" w:rsidR="005A7AAB" w:rsidRDefault="005A7AAB" w:rsidP="005A7AAB"/>
    <w:p w14:paraId="36DA0DC0" w14:textId="6580B9C2" w:rsidR="005A7AAB" w:rsidRPr="005A7AAB" w:rsidRDefault="005A7AAB" w:rsidP="005A7AAB">
      <w:pPr>
        <w:pStyle w:val="Odstavecseseznamem"/>
        <w:numPr>
          <w:ilvl w:val="0"/>
          <w:numId w:val="58"/>
        </w:numPr>
        <w:spacing w:line="360" w:lineRule="auto"/>
        <w:jc w:val="both"/>
        <w:rPr>
          <w:rFonts w:ascii="Invesco Interstate Light" w:hAnsi="Invesco Interstate Light"/>
        </w:rPr>
      </w:pPr>
      <w:r w:rsidRPr="005A7AAB">
        <w:rPr>
          <w:rFonts w:ascii="Invesco Interstate Light" w:hAnsi="Invesco Interstate Light"/>
        </w:rPr>
        <w:t>Očekává se, že měnová politika v eurozóně bude v budoucnu uvolněnější než měnová politika v USA.</w:t>
      </w:r>
    </w:p>
    <w:p w14:paraId="664E4FAC" w14:textId="3D6D744B" w:rsidR="005A7AAB" w:rsidRPr="005A7AAB" w:rsidRDefault="005A7AAB" w:rsidP="005A7AAB">
      <w:pPr>
        <w:pStyle w:val="Odstavecseseznamem"/>
        <w:numPr>
          <w:ilvl w:val="0"/>
          <w:numId w:val="58"/>
        </w:numPr>
        <w:spacing w:line="360" w:lineRule="auto"/>
        <w:jc w:val="both"/>
        <w:rPr>
          <w:rFonts w:ascii="Invesco Interstate Light" w:hAnsi="Invesco Interstate Light"/>
        </w:rPr>
      </w:pPr>
      <w:r w:rsidRPr="005A7AAB">
        <w:rPr>
          <w:rFonts w:ascii="Invesco Interstate Light" w:hAnsi="Invesco Interstate Light"/>
        </w:rPr>
        <w:t xml:space="preserve">Jak ukazují indexy </w:t>
      </w:r>
      <w:proofErr w:type="spellStart"/>
      <w:r w:rsidRPr="005A7AAB">
        <w:rPr>
          <w:rFonts w:ascii="Invesco Interstate Light" w:hAnsi="Invesco Interstate Light"/>
        </w:rPr>
        <w:t>Citi</w:t>
      </w:r>
      <w:proofErr w:type="spellEnd"/>
      <w:r w:rsidRPr="005A7AAB">
        <w:rPr>
          <w:rFonts w:ascii="Invesco Interstate Light" w:hAnsi="Invesco Interstate Light"/>
        </w:rPr>
        <w:t xml:space="preserve"> </w:t>
      </w:r>
      <w:proofErr w:type="spellStart"/>
      <w:r w:rsidRPr="005A7AAB">
        <w:rPr>
          <w:rFonts w:ascii="Invesco Interstate Light" w:hAnsi="Invesco Interstate Light"/>
        </w:rPr>
        <w:t>Economic</w:t>
      </w:r>
      <w:proofErr w:type="spellEnd"/>
      <w:r w:rsidRPr="005A7AAB">
        <w:rPr>
          <w:rFonts w:ascii="Invesco Interstate Light" w:hAnsi="Invesco Interstate Light"/>
        </w:rPr>
        <w:t xml:space="preserve"> </w:t>
      </w:r>
      <w:proofErr w:type="spellStart"/>
      <w:r w:rsidRPr="005A7AAB">
        <w:rPr>
          <w:rFonts w:ascii="Invesco Interstate Light" w:hAnsi="Invesco Interstate Light"/>
        </w:rPr>
        <w:t>Surprise</w:t>
      </w:r>
      <w:proofErr w:type="spellEnd"/>
      <w:r w:rsidRPr="005A7AAB">
        <w:rPr>
          <w:rFonts w:ascii="Invesco Interstate Light" w:hAnsi="Invesco Interstate Light"/>
        </w:rPr>
        <w:t>, v eurozóně došlo k pozitivnímu ekonomickému překvapení a v USA naopak k negativnímu ekonomickému překvapení.</w:t>
      </w:r>
    </w:p>
    <w:p w14:paraId="655359EA" w14:textId="57BA6C97" w:rsidR="005A7AAB" w:rsidRPr="005A7AAB" w:rsidRDefault="005A7AAB" w:rsidP="005A7AAB">
      <w:pPr>
        <w:pStyle w:val="Odstavecseseznamem"/>
        <w:numPr>
          <w:ilvl w:val="0"/>
          <w:numId w:val="58"/>
        </w:numPr>
        <w:spacing w:line="360" w:lineRule="auto"/>
        <w:jc w:val="both"/>
        <w:rPr>
          <w:rFonts w:ascii="Invesco Interstate Light" w:hAnsi="Invesco Interstate Light"/>
        </w:rPr>
      </w:pPr>
      <w:proofErr w:type="spellStart"/>
      <w:r w:rsidRPr="005A7AAB">
        <w:rPr>
          <w:rFonts w:ascii="Invesco Interstate Light" w:hAnsi="Invesco Interstate Light"/>
        </w:rPr>
        <w:t>Momentum</w:t>
      </w:r>
      <w:proofErr w:type="spellEnd"/>
      <w:r w:rsidRPr="005A7AAB">
        <w:rPr>
          <w:rFonts w:ascii="Invesco Interstate Light" w:hAnsi="Invesco Interstate Light"/>
        </w:rPr>
        <w:t xml:space="preserve"> růstu zisků se v eurozóně, ačkoli je záporné, zlepšuje, zatímco </w:t>
      </w:r>
      <w:proofErr w:type="spellStart"/>
      <w:r w:rsidRPr="005A7AAB">
        <w:rPr>
          <w:rFonts w:ascii="Invesco Interstate Light" w:hAnsi="Invesco Interstate Light"/>
        </w:rPr>
        <w:t>momentum</w:t>
      </w:r>
      <w:proofErr w:type="spellEnd"/>
      <w:r w:rsidRPr="005A7AAB">
        <w:rPr>
          <w:rFonts w:ascii="Invesco Interstate Light" w:hAnsi="Invesco Interstate Light"/>
        </w:rPr>
        <w:t xml:space="preserve"> růstu zisků v USA se nezlepšuje.</w:t>
      </w:r>
    </w:p>
    <w:p w14:paraId="49AD5D71" w14:textId="7F1463B3" w:rsidR="005A7AAB" w:rsidRPr="005A7AAB" w:rsidRDefault="005A7AAB" w:rsidP="005A7AAB">
      <w:pPr>
        <w:pStyle w:val="Odstavecseseznamem"/>
        <w:numPr>
          <w:ilvl w:val="0"/>
          <w:numId w:val="58"/>
        </w:numPr>
        <w:spacing w:line="360" w:lineRule="auto"/>
        <w:jc w:val="both"/>
        <w:rPr>
          <w:rFonts w:ascii="Invesco Interstate Light" w:hAnsi="Invesco Interstate Light"/>
        </w:rPr>
      </w:pPr>
      <w:r w:rsidRPr="005A7AAB">
        <w:rPr>
          <w:rFonts w:ascii="Invesco Interstate Light" w:hAnsi="Invesco Interstate Light"/>
        </w:rPr>
        <w:t>Ocenění jsou v eurozóně relativně nízká, ale v USA velmi vysoká – v podstatě oceněná na dokonalost nebo blízko dokonalosti.</w:t>
      </w:r>
    </w:p>
    <w:p w14:paraId="631CB543" w14:textId="30792916" w:rsidR="005A3F63" w:rsidRDefault="005A7AAB" w:rsidP="005A3F6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Německo plánuje výrazné zvýšení výdajů na obranu a infrastruktura</w:t>
      </w:r>
    </w:p>
    <w:p w14:paraId="6B174B47" w14:textId="77777777" w:rsidR="005A7AAB" w:rsidRPr="005A7AAB" w:rsidRDefault="005A7AAB" w:rsidP="005A7AAB">
      <w:pPr>
        <w:spacing w:line="360" w:lineRule="auto"/>
        <w:jc w:val="both"/>
        <w:rPr>
          <w:rFonts w:ascii="Invesco Interstate Light" w:eastAsiaTheme="minorEastAsia" w:hAnsi="Invesco Interstate Light"/>
          <w:sz w:val="22"/>
          <w:szCs w:val="22"/>
        </w:rPr>
      </w:pPr>
      <w:r w:rsidRPr="005A7AAB">
        <w:rPr>
          <w:rFonts w:ascii="Invesco Interstate Light" w:eastAsiaTheme="minorEastAsia" w:hAnsi="Invesco Interstate Light"/>
          <w:sz w:val="22"/>
          <w:szCs w:val="22"/>
        </w:rPr>
        <w:t xml:space="preserve">K těmto čtyřem faktorům se minulý týden přidalo významné oznámení Německa, které znamená mimořádně důležitý posun ve světě jak z politického, tak z ekonomického hlediska. Nastupující kancléř Friedrich </w:t>
      </w:r>
      <w:proofErr w:type="spellStart"/>
      <w:r w:rsidRPr="005A7AAB">
        <w:rPr>
          <w:rFonts w:ascii="Invesco Interstate Light" w:eastAsiaTheme="minorEastAsia" w:hAnsi="Invesco Interstate Light"/>
          <w:sz w:val="22"/>
          <w:szCs w:val="22"/>
        </w:rPr>
        <w:t>Merz</w:t>
      </w:r>
      <w:proofErr w:type="spellEnd"/>
      <w:r w:rsidRPr="005A7AAB">
        <w:rPr>
          <w:rFonts w:ascii="Invesco Interstate Light" w:eastAsiaTheme="minorEastAsia" w:hAnsi="Invesco Interstate Light"/>
          <w:sz w:val="22"/>
          <w:szCs w:val="22"/>
        </w:rPr>
        <w:t xml:space="preserve"> oznámil plány na výrazné zvýšení výdajů na obranu a infrastrukturu. To je obrat o 180 stupňů pro zemi, která se v posledních letech vyloženě soustředila na zachování fiskální opatrnosti – na úkor své ekonomiky. To však již neplatí.</w:t>
      </w:r>
    </w:p>
    <w:p w14:paraId="3C856C2D" w14:textId="77777777" w:rsidR="00BB68D1" w:rsidRDefault="00BB68D1" w:rsidP="00BB68D1"/>
    <w:p w14:paraId="434E00DF" w14:textId="77777777" w:rsidR="005A7AAB" w:rsidRPr="005A7AAB" w:rsidRDefault="005A7AAB" w:rsidP="005A7AAB">
      <w:pPr>
        <w:spacing w:line="360" w:lineRule="auto"/>
        <w:jc w:val="both"/>
        <w:rPr>
          <w:rFonts w:ascii="Invesco Interstate Light" w:eastAsiaTheme="minorEastAsia" w:hAnsi="Invesco Interstate Light"/>
          <w:sz w:val="22"/>
          <w:szCs w:val="22"/>
        </w:rPr>
      </w:pPr>
      <w:r w:rsidRPr="005A7AAB">
        <w:rPr>
          <w:rFonts w:ascii="Invesco Interstate Light" w:eastAsiaTheme="minorEastAsia" w:hAnsi="Invesco Interstate Light"/>
          <w:sz w:val="22"/>
          <w:szCs w:val="22"/>
        </w:rPr>
        <w:t>Nová německá vládní koalice plánuje výrazně změnit horní hranici deficitních výdajů země, aby mohla v nadcházejícím desetiletí vynaložit až 1 bilion eur na obranu a infrastrukturu. Ačkoli se tak děje v reakci na politiku USA, nabízí to Německu ekonomické výhody a řeší to klíčové problémy jeho hospodářství. Německý zpracovatelský průmysl se v posledních několika letech nachází v útlumu. V loňském roce jsem obdržela desítky dotazů od skeptických klientů, kteří se ptali, zda se Německo někdy dočká obnovení své bývalé síly ve výrobě. Málokdo však předpokládal, jak rychle se vztahy mezi USA a Evropou zhorší a jak rychle na to Německo a další evropské země zareagují.</w:t>
      </w:r>
    </w:p>
    <w:p w14:paraId="74F1E5EC" w14:textId="77777777" w:rsidR="00BB68D1" w:rsidRDefault="00BB68D1" w:rsidP="00BB68D1"/>
    <w:p w14:paraId="274A5B5B" w14:textId="797B2890" w:rsidR="00AC2D81" w:rsidRPr="00AC2D81" w:rsidRDefault="005A7AAB" w:rsidP="00DD2618">
      <w:pPr>
        <w:spacing w:line="360" w:lineRule="auto"/>
        <w:jc w:val="both"/>
        <w:rPr>
          <w:rFonts w:ascii="Invesco Interstate Light" w:eastAsiaTheme="minorEastAsia" w:hAnsi="Invesco Interstate Light"/>
          <w:sz w:val="22"/>
          <w:szCs w:val="22"/>
        </w:rPr>
      </w:pPr>
      <w:r w:rsidRPr="005A7AAB">
        <w:rPr>
          <w:rFonts w:ascii="Invesco Interstate Light" w:eastAsiaTheme="minorEastAsia" w:hAnsi="Invesco Interstate Light"/>
          <w:sz w:val="22"/>
          <w:szCs w:val="22"/>
        </w:rPr>
        <w:lastRenderedPageBreak/>
        <w:t xml:space="preserve">A nejde jen o Německo; odklon USA od svých dlouholetých spojenců pozitivně ovlivnil mnoho evropských zemí. Tento týden se očekává, že vedoucí představitelé Evropské unie (EU) povedou ve čtvrtek mimořádná jednání, aby rozhodli o způsobech zrušení fiskálních omezení na úrovni EU s cílem rychle navýšit své vojenské rozpočty. Evropské země jednají rychle a trhy chápou, že se jedná o důležitý posun </w:t>
      </w:r>
      <w:r w:rsidR="00DD2618" w:rsidRPr="005A7AAB">
        <w:rPr>
          <w:rFonts w:ascii="Invesco Interstate Light" w:eastAsiaTheme="minorEastAsia" w:hAnsi="Invesco Interstate Light"/>
          <w:sz w:val="22"/>
          <w:szCs w:val="22"/>
        </w:rPr>
        <w:t>–</w:t>
      </w:r>
      <w:r w:rsidR="00DD2618">
        <w:rPr>
          <w:rFonts w:ascii="Invesco Interstate Light" w:eastAsiaTheme="minorEastAsia" w:hAnsi="Invesco Interstate Light"/>
          <w:sz w:val="22"/>
          <w:szCs w:val="22"/>
        </w:rPr>
        <w:t xml:space="preserve"> </w:t>
      </w:r>
      <w:r w:rsidRPr="005A7AAB">
        <w:rPr>
          <w:rFonts w:ascii="Invesco Interstate Light" w:eastAsiaTheme="minorEastAsia" w:hAnsi="Invesco Interstate Light"/>
          <w:sz w:val="22"/>
          <w:szCs w:val="22"/>
        </w:rPr>
        <w:t xml:space="preserve">nejdramatičtější vývoj od sjednocení Německa. Myslím, že není náhodou, že pan </w:t>
      </w:r>
      <w:proofErr w:type="spellStart"/>
      <w:r w:rsidRPr="005A7AAB">
        <w:rPr>
          <w:rFonts w:ascii="Invesco Interstate Light" w:eastAsiaTheme="minorEastAsia" w:hAnsi="Invesco Interstate Light"/>
          <w:sz w:val="22"/>
          <w:szCs w:val="22"/>
        </w:rPr>
        <w:t>Merz</w:t>
      </w:r>
      <w:proofErr w:type="spellEnd"/>
      <w:r w:rsidRPr="005A7AAB">
        <w:rPr>
          <w:rFonts w:ascii="Invesco Interstate Light" w:eastAsiaTheme="minorEastAsia" w:hAnsi="Invesco Interstate Light"/>
          <w:sz w:val="22"/>
          <w:szCs w:val="22"/>
        </w:rPr>
        <w:t xml:space="preserve"> použil výraz „ať to stojí, co to stojí“, a nasměroval tak svého </w:t>
      </w:r>
      <w:r w:rsidR="00AB5524">
        <w:rPr>
          <w:rFonts w:ascii="Invesco Interstate Light" w:eastAsiaTheme="minorEastAsia" w:hAnsi="Invesco Interstate Light"/>
          <w:sz w:val="22"/>
          <w:szCs w:val="22"/>
        </w:rPr>
        <w:t>„</w:t>
      </w:r>
      <w:r w:rsidRPr="005A7AAB">
        <w:rPr>
          <w:rFonts w:ascii="Invesco Interstate Light" w:eastAsiaTheme="minorEastAsia" w:hAnsi="Invesco Interstate Light"/>
          <w:sz w:val="22"/>
          <w:szCs w:val="22"/>
        </w:rPr>
        <w:t xml:space="preserve">vnitřního Maria </w:t>
      </w:r>
      <w:proofErr w:type="spellStart"/>
      <w:r w:rsidRPr="005A7AAB">
        <w:rPr>
          <w:rFonts w:ascii="Invesco Interstate Light" w:eastAsiaTheme="minorEastAsia" w:hAnsi="Invesco Interstate Light"/>
          <w:sz w:val="22"/>
          <w:szCs w:val="22"/>
        </w:rPr>
        <w:t>Draghiho</w:t>
      </w:r>
      <w:proofErr w:type="spellEnd"/>
      <w:r w:rsidR="00AB5524">
        <w:rPr>
          <w:rFonts w:ascii="Invesco Interstate Light" w:eastAsiaTheme="minorEastAsia" w:hAnsi="Invesco Interstate Light"/>
          <w:sz w:val="22"/>
          <w:szCs w:val="22"/>
        </w:rPr>
        <w:t>“</w:t>
      </w:r>
      <w:r w:rsidRPr="005A7AAB">
        <w:rPr>
          <w:rFonts w:ascii="Invesco Interstate Light" w:eastAsiaTheme="minorEastAsia" w:hAnsi="Invesco Interstate Light"/>
          <w:sz w:val="22"/>
          <w:szCs w:val="22"/>
        </w:rPr>
        <w:t>. Není divu, že minulý týden vzrostl výnos desetiletého německého dluhopisu až o 30 bazických bodů – což je největší skok od roku 1990.</w:t>
      </w:r>
    </w:p>
    <w:p w14:paraId="703D9455" w14:textId="449E6622" w:rsidR="00BB68D1" w:rsidRDefault="00DD2618" w:rsidP="00BB68D1">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USA upřednostňují snižování vládních výdajů</w:t>
      </w:r>
    </w:p>
    <w:p w14:paraId="46972755" w14:textId="77777777" w:rsidR="00DD2618" w:rsidRPr="00DD2618" w:rsidRDefault="00DD2618" w:rsidP="00DD2618">
      <w:pPr>
        <w:spacing w:line="360" w:lineRule="auto"/>
        <w:jc w:val="both"/>
        <w:rPr>
          <w:rFonts w:ascii="Invesco Interstate Light" w:eastAsiaTheme="minorEastAsia" w:hAnsi="Invesco Interstate Light"/>
          <w:sz w:val="22"/>
          <w:szCs w:val="22"/>
        </w:rPr>
      </w:pPr>
      <w:r w:rsidRPr="00DD2618">
        <w:rPr>
          <w:rFonts w:ascii="Invesco Interstate Light" w:eastAsiaTheme="minorEastAsia" w:hAnsi="Invesco Interstate Light"/>
          <w:sz w:val="22"/>
          <w:szCs w:val="22"/>
        </w:rPr>
        <w:t>Zdá se, že USA mezitím výrazně snižují výdaje prostřednictvím svého ministerstva pro efektivitu státní správy (DOGE). Ačkoli se zdá, že trhy se soustředí na cla, domnívám se, že dramatické snižování vládních výdajů je pro americkou ekonomiku větší hrozbou. Ačkoli USA jistě potřebují snížit výdaje, aby snížily fiskální deficit, myslím, že jen málokdo předpokládal, že škrty budou tak rychlé a agresivní. To může být pro americkou ekonomiku velmi problematické, protože každé ztracené pracovní místo a každý dolar snížených výdajů má dopad na celou ekonomiku.</w:t>
      </w:r>
    </w:p>
    <w:p w14:paraId="219D163B" w14:textId="77777777" w:rsidR="00BB68D1" w:rsidRDefault="00BB68D1" w:rsidP="00DD2618">
      <w:pPr>
        <w:spacing w:line="276" w:lineRule="auto"/>
        <w:jc w:val="both"/>
        <w:rPr>
          <w:rFonts w:ascii="Invesco Interstate Light" w:eastAsiaTheme="minorEastAsia" w:hAnsi="Invesco Interstate Light"/>
          <w:sz w:val="22"/>
          <w:szCs w:val="22"/>
        </w:rPr>
      </w:pPr>
    </w:p>
    <w:p w14:paraId="7F1E6B0D" w14:textId="5521F13A" w:rsidR="00DD2618" w:rsidRPr="00DD2618" w:rsidRDefault="00DD2618" w:rsidP="00DD2618">
      <w:pPr>
        <w:spacing w:line="360" w:lineRule="auto"/>
        <w:jc w:val="both"/>
        <w:rPr>
          <w:rFonts w:ascii="Invesco Interstate Light" w:eastAsiaTheme="minorEastAsia" w:hAnsi="Invesco Interstate Light"/>
          <w:sz w:val="22"/>
          <w:szCs w:val="22"/>
        </w:rPr>
      </w:pPr>
      <w:r w:rsidRPr="00DD2618">
        <w:rPr>
          <w:rFonts w:ascii="Invesco Interstate Light" w:eastAsiaTheme="minorEastAsia" w:hAnsi="Invesco Interstate Light"/>
          <w:sz w:val="22"/>
          <w:szCs w:val="22"/>
        </w:rPr>
        <w:t xml:space="preserve">Považuji to za silný „reverzní multiplikační efekt“ - odstranění jednoho dolaru vládních výdajů má dominový efekt a snižuje výdaje v celé ekonomice. Výše dopadu závisí na druhu vládních výdajů, které se snižují. Snížení vládních výdajů, které mají vyšší multiplikační efekt – například transferové platby domácnostem s nízkými příjmy </w:t>
      </w:r>
      <w:r w:rsidRPr="005A7AAB">
        <w:rPr>
          <w:rFonts w:ascii="Invesco Interstate Light" w:eastAsiaTheme="minorEastAsia" w:hAnsi="Invesco Interstate Light"/>
          <w:sz w:val="22"/>
          <w:szCs w:val="22"/>
        </w:rPr>
        <w:t>–</w:t>
      </w:r>
      <w:r w:rsidRPr="00DD2618">
        <w:rPr>
          <w:rFonts w:ascii="Invesco Interstate Light" w:eastAsiaTheme="minorEastAsia" w:hAnsi="Invesco Interstate Light"/>
          <w:sz w:val="22"/>
          <w:szCs w:val="22"/>
        </w:rPr>
        <w:t xml:space="preserve"> bude mít na ekonomiku větší negativní dopad než snížení vládních výdajů s nižším multiplikačním efektem.</w:t>
      </w:r>
    </w:p>
    <w:p w14:paraId="62855F44" w14:textId="77777777" w:rsidR="00DD2618" w:rsidRDefault="00DD2618" w:rsidP="00AC2D81">
      <w:pPr>
        <w:spacing w:line="360" w:lineRule="auto"/>
        <w:jc w:val="both"/>
        <w:rPr>
          <w:rFonts w:ascii="Invesco Interstate Light" w:eastAsiaTheme="minorEastAsia" w:hAnsi="Invesco Interstate Light"/>
          <w:sz w:val="22"/>
          <w:szCs w:val="22"/>
        </w:rPr>
      </w:pPr>
    </w:p>
    <w:p w14:paraId="5BF9C957" w14:textId="1122765E" w:rsidR="00BB68D1" w:rsidRDefault="00DD2618" w:rsidP="00DD2618">
      <w:pPr>
        <w:spacing w:line="360" w:lineRule="auto"/>
        <w:rPr>
          <w:rFonts w:ascii="Invesco Interstate Light" w:eastAsiaTheme="minorEastAsia" w:hAnsi="Invesco Interstate Light"/>
          <w:sz w:val="22"/>
          <w:szCs w:val="22"/>
        </w:rPr>
      </w:pPr>
      <w:r w:rsidRPr="00DD2618">
        <w:rPr>
          <w:rFonts w:ascii="Invesco Interstate Light" w:eastAsiaTheme="minorEastAsia" w:hAnsi="Invesco Interstate Light"/>
          <w:sz w:val="22"/>
          <w:szCs w:val="22"/>
        </w:rPr>
        <w:t>Transferové platby mají vyšší multiplikační efekt, protože domácnosti s nízkými příjmy spíše utratí každý dolar, který obdrží, než aby část z něj ušetřily. Jinými slovy, za stejných podmínek by snížení plateb domácnostem s nízkými příjmy mělo mít větší dopad na ekonomiku USA než například snížení daní domácnostem s vyššími příjmy, které část těchto peněz pravděpodobně ušetří. Je třeba bedlivě sledovat, kde ke škrtům dochází, a ne, jen to, že ke škrtům dochází.</w:t>
      </w:r>
    </w:p>
    <w:p w14:paraId="3AB010C5" w14:textId="77777777" w:rsidR="00DD2618" w:rsidRDefault="00DD2618" w:rsidP="00DD2618">
      <w:pPr>
        <w:spacing w:line="360" w:lineRule="auto"/>
        <w:rPr>
          <w:rFonts w:ascii="Invesco Interstate Light" w:eastAsiaTheme="minorEastAsia" w:hAnsi="Invesco Interstate Light"/>
          <w:sz w:val="22"/>
          <w:szCs w:val="22"/>
        </w:rPr>
      </w:pPr>
    </w:p>
    <w:p w14:paraId="426588F0" w14:textId="77777777" w:rsidR="00DD2618" w:rsidRDefault="00DD2618" w:rsidP="00DD2618">
      <w:pPr>
        <w:spacing w:line="360" w:lineRule="auto"/>
        <w:rPr>
          <w:rFonts w:ascii="Invesco Interstate Light" w:eastAsiaTheme="minorEastAsia" w:hAnsi="Invesco Interstate Light"/>
          <w:sz w:val="22"/>
          <w:szCs w:val="22"/>
        </w:rPr>
      </w:pPr>
    </w:p>
    <w:p w14:paraId="4A0C51EC" w14:textId="77777777" w:rsidR="00DD2618" w:rsidRDefault="00DD2618" w:rsidP="00DD2618">
      <w:pPr>
        <w:spacing w:line="360" w:lineRule="auto"/>
        <w:rPr>
          <w:rFonts w:ascii="Invesco Interstate Light" w:eastAsiaTheme="minorEastAsia" w:hAnsi="Invesco Interstate Light"/>
          <w:sz w:val="22"/>
          <w:szCs w:val="22"/>
        </w:rPr>
      </w:pPr>
    </w:p>
    <w:p w14:paraId="4DCAF2C4" w14:textId="77777777" w:rsidR="00DD2618" w:rsidRDefault="00DD2618" w:rsidP="00DD2618">
      <w:pPr>
        <w:spacing w:line="360" w:lineRule="auto"/>
        <w:rPr>
          <w:rFonts w:ascii="Invesco Interstate Light" w:eastAsiaTheme="minorEastAsia" w:hAnsi="Invesco Interstate Light"/>
          <w:sz w:val="22"/>
          <w:szCs w:val="22"/>
        </w:rPr>
      </w:pPr>
    </w:p>
    <w:p w14:paraId="53306BFD" w14:textId="3B6FDD9F" w:rsidR="00BB68D1" w:rsidRDefault="00DD2618" w:rsidP="00BB68D1">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lastRenderedPageBreak/>
        <w:t xml:space="preserve">Pravděpodobnost recese v USA se zvýšila </w:t>
      </w:r>
    </w:p>
    <w:p w14:paraId="0CE30677" w14:textId="77777777" w:rsidR="00DD2618" w:rsidRPr="00DD2618" w:rsidRDefault="00DD2618" w:rsidP="00DD2618">
      <w:pPr>
        <w:spacing w:line="360" w:lineRule="auto"/>
        <w:jc w:val="both"/>
        <w:rPr>
          <w:rFonts w:ascii="Invesco Interstate Light" w:eastAsiaTheme="minorEastAsia" w:hAnsi="Invesco Interstate Light"/>
          <w:sz w:val="22"/>
          <w:szCs w:val="22"/>
        </w:rPr>
      </w:pPr>
      <w:r w:rsidRPr="00DD2618">
        <w:rPr>
          <w:rFonts w:ascii="Invesco Interstate Light" w:eastAsiaTheme="minorEastAsia" w:hAnsi="Invesco Interstate Light"/>
          <w:sz w:val="22"/>
          <w:szCs w:val="22"/>
        </w:rPr>
        <w:t>Je tedy pravděpodobné, že změna ve výkonnosti akciových trhů v Evropě a USA bude umocněna změnou fiskálního impulsu. A tato změna fiskálního impulsu podstatně zvýšila pravděpodobnost recese v USA v tomto roce.</w:t>
      </w:r>
    </w:p>
    <w:p w14:paraId="053F0095" w14:textId="34677C20" w:rsidR="00595315" w:rsidRPr="00DD2618" w:rsidRDefault="00CC22BC" w:rsidP="00DD2618">
      <w:pPr>
        <w:spacing w:line="360" w:lineRule="auto"/>
        <w:jc w:val="both"/>
        <w:rPr>
          <w:rFonts w:ascii="Invesco Interstate Light" w:eastAsiaTheme="minorEastAsia" w:hAnsi="Invesco Interstate Light"/>
          <w:sz w:val="22"/>
          <w:szCs w:val="22"/>
        </w:rPr>
      </w:pPr>
      <w:r w:rsidRPr="00CC22BC">
        <w:br/>
      </w:r>
      <w:r w:rsidR="00DD2618" w:rsidRPr="00DD2618">
        <w:rPr>
          <w:rFonts w:ascii="Invesco Interstate Light" w:eastAsiaTheme="minorEastAsia" w:hAnsi="Invesco Interstate Light"/>
          <w:sz w:val="22"/>
          <w:szCs w:val="22"/>
        </w:rPr>
        <w:t xml:space="preserve">Indikátor </w:t>
      </w:r>
      <w:proofErr w:type="spellStart"/>
      <w:r w:rsidR="00DD2618" w:rsidRPr="00DD2618">
        <w:rPr>
          <w:rFonts w:ascii="Invesco Interstate Light" w:eastAsiaTheme="minorEastAsia" w:hAnsi="Invesco Interstate Light"/>
          <w:sz w:val="22"/>
          <w:szCs w:val="22"/>
        </w:rPr>
        <w:t>GDPNow</w:t>
      </w:r>
      <w:proofErr w:type="spellEnd"/>
      <w:r w:rsidR="00DD2618" w:rsidRPr="00DD2618">
        <w:rPr>
          <w:rFonts w:ascii="Invesco Interstate Light" w:eastAsiaTheme="minorEastAsia" w:hAnsi="Invesco Interstate Light"/>
          <w:sz w:val="22"/>
          <w:szCs w:val="22"/>
        </w:rPr>
        <w:t xml:space="preserve"> atlantského </w:t>
      </w:r>
      <w:proofErr w:type="spellStart"/>
      <w:r w:rsidR="00DD2618" w:rsidRPr="00DD2618">
        <w:rPr>
          <w:rFonts w:ascii="Invesco Interstate Light" w:eastAsiaTheme="minorEastAsia" w:hAnsi="Invesco Interstate Light"/>
          <w:sz w:val="22"/>
          <w:szCs w:val="22"/>
        </w:rPr>
        <w:t>Fedu</w:t>
      </w:r>
      <w:proofErr w:type="spellEnd"/>
      <w:r w:rsidR="00DD2618" w:rsidRPr="00DD2618">
        <w:rPr>
          <w:rFonts w:ascii="Invesco Interstate Light" w:eastAsiaTheme="minorEastAsia" w:hAnsi="Invesco Interstate Light"/>
          <w:sz w:val="22"/>
          <w:szCs w:val="22"/>
        </w:rPr>
        <w:t xml:space="preserve"> ukazuje alarmující pokles hospodářského růstu USA za první čtvrtletí, který se nyní očekává na úrovni -2,8 % (i když do konce čtvrtletí bude jistě ještě mnohokrát revidován).</w:t>
      </w:r>
    </w:p>
    <w:p w14:paraId="5DD39106" w14:textId="5D05FE50" w:rsidR="00CC22BC" w:rsidRPr="001B40AC" w:rsidRDefault="00CC22BC" w:rsidP="00595315">
      <w:pPr>
        <w:spacing w:line="360" w:lineRule="auto"/>
        <w:jc w:val="both"/>
      </w:pPr>
    </w:p>
    <w:p w14:paraId="7DF4FA86" w14:textId="77777777" w:rsidR="00DD2618" w:rsidRPr="00DD2618" w:rsidRDefault="00DD2618" w:rsidP="00DD2618">
      <w:pPr>
        <w:spacing w:line="360" w:lineRule="auto"/>
        <w:jc w:val="both"/>
        <w:rPr>
          <w:rFonts w:ascii="Invesco Interstate Light" w:eastAsiaTheme="minorEastAsia" w:hAnsi="Invesco Interstate Light"/>
          <w:sz w:val="22"/>
          <w:szCs w:val="22"/>
        </w:rPr>
      </w:pPr>
      <w:r w:rsidRPr="00DD2618">
        <w:rPr>
          <w:rFonts w:ascii="Invesco Interstate Light" w:eastAsiaTheme="minorEastAsia" w:hAnsi="Invesco Interstate Light"/>
          <w:sz w:val="22"/>
          <w:szCs w:val="22"/>
        </w:rPr>
        <w:t xml:space="preserve">Škrty ve vládních výdajích již mají dopad na zaměstnanost. Společnost </w:t>
      </w:r>
      <w:proofErr w:type="spellStart"/>
      <w:r w:rsidRPr="00DD2618">
        <w:rPr>
          <w:rFonts w:ascii="Invesco Interstate Light" w:eastAsiaTheme="minorEastAsia" w:hAnsi="Invesco Interstate Light"/>
          <w:sz w:val="22"/>
          <w:szCs w:val="22"/>
        </w:rPr>
        <w:t>Challenger</w:t>
      </w:r>
      <w:proofErr w:type="spellEnd"/>
      <w:r w:rsidRPr="00DD2618">
        <w:rPr>
          <w:rFonts w:ascii="Invesco Interstate Light" w:eastAsiaTheme="minorEastAsia" w:hAnsi="Invesco Interstate Light"/>
          <w:sz w:val="22"/>
          <w:szCs w:val="22"/>
        </w:rPr>
        <w:t xml:space="preserve">, </w:t>
      </w:r>
      <w:proofErr w:type="spellStart"/>
      <w:r w:rsidRPr="00DD2618">
        <w:rPr>
          <w:rFonts w:ascii="Invesco Interstate Light" w:eastAsiaTheme="minorEastAsia" w:hAnsi="Invesco Interstate Light"/>
          <w:sz w:val="22"/>
          <w:szCs w:val="22"/>
        </w:rPr>
        <w:t>Gray</w:t>
      </w:r>
      <w:proofErr w:type="spellEnd"/>
      <w:r w:rsidRPr="00DD2618">
        <w:rPr>
          <w:rFonts w:ascii="Invesco Interstate Light" w:eastAsiaTheme="minorEastAsia" w:hAnsi="Invesco Interstate Light"/>
          <w:sz w:val="22"/>
          <w:szCs w:val="22"/>
        </w:rPr>
        <w:t xml:space="preserve"> &amp; </w:t>
      </w:r>
      <w:proofErr w:type="spellStart"/>
      <w:r w:rsidRPr="00DD2618">
        <w:rPr>
          <w:rFonts w:ascii="Invesco Interstate Light" w:eastAsiaTheme="minorEastAsia" w:hAnsi="Invesco Interstate Light"/>
          <w:sz w:val="22"/>
          <w:szCs w:val="22"/>
        </w:rPr>
        <w:t>Christmas</w:t>
      </w:r>
      <w:proofErr w:type="spellEnd"/>
      <w:r w:rsidRPr="00DD2618">
        <w:rPr>
          <w:rFonts w:ascii="Invesco Interstate Light" w:eastAsiaTheme="minorEastAsia" w:hAnsi="Invesco Interstate Light"/>
          <w:sz w:val="22"/>
          <w:szCs w:val="22"/>
        </w:rPr>
        <w:t xml:space="preserve"> minulý týden oznámila, že počet propuštěných zaměstnanců ze strany amerických zaměstnavatelů se v únoru zvýšil o 245 % na 172 017, což je nejvyšší úroveň od července 2020, kdy Ameriku sužovala omezení COVID-19.4</w:t>
      </w:r>
    </w:p>
    <w:p w14:paraId="42A76FA8" w14:textId="77777777" w:rsidR="00DD2618" w:rsidRDefault="00DD2618" w:rsidP="00DD2618"/>
    <w:p w14:paraId="3528C055" w14:textId="04E790B7" w:rsidR="00DD2618" w:rsidRDefault="00DD2618" w:rsidP="00DD2618">
      <w:pPr>
        <w:spacing w:line="276" w:lineRule="auto"/>
        <w:rPr>
          <w:rFonts w:ascii="Invesco Interstate Light" w:eastAsiaTheme="minorEastAsia" w:hAnsi="Invesco Interstate Light"/>
          <w:sz w:val="22"/>
          <w:szCs w:val="22"/>
        </w:rPr>
      </w:pPr>
      <w:r w:rsidRPr="00DD2618">
        <w:rPr>
          <w:rFonts w:ascii="Invesco Interstate Light" w:eastAsiaTheme="minorEastAsia" w:hAnsi="Invesco Interstate Light"/>
          <w:sz w:val="22"/>
          <w:szCs w:val="22"/>
        </w:rPr>
        <w:t>A neměli bychom přehlížet ani oznámení z Béžové knihy Federálního rezervního systému zveřejněné minulý týden:</w:t>
      </w:r>
    </w:p>
    <w:p w14:paraId="106CBA73" w14:textId="77777777" w:rsidR="00DD2618" w:rsidRDefault="00DD2618" w:rsidP="00DD2618">
      <w:pPr>
        <w:spacing w:line="276" w:lineRule="auto"/>
        <w:rPr>
          <w:rFonts w:ascii="Invesco Interstate Light" w:eastAsiaTheme="minorEastAsia" w:hAnsi="Invesco Interstate Light"/>
          <w:sz w:val="22"/>
          <w:szCs w:val="22"/>
        </w:rPr>
      </w:pPr>
    </w:p>
    <w:p w14:paraId="1477B3F7" w14:textId="674390BE" w:rsidR="00DD2618" w:rsidRDefault="00DD2618" w:rsidP="00DD2618">
      <w:pPr>
        <w:spacing w:line="360" w:lineRule="auto"/>
        <w:jc w:val="both"/>
        <w:rPr>
          <w:rFonts w:ascii="Invesco Interstate Light" w:eastAsiaTheme="minorEastAsia" w:hAnsi="Invesco Interstate Light"/>
          <w:i/>
          <w:iCs/>
          <w:sz w:val="22"/>
          <w:szCs w:val="22"/>
        </w:rPr>
      </w:pPr>
      <w:r w:rsidRPr="00DD2618">
        <w:rPr>
          <w:rFonts w:ascii="Invesco Interstate Light" w:eastAsiaTheme="minorEastAsia" w:hAnsi="Invesco Interstate Light"/>
          <w:i/>
          <w:iCs/>
          <w:sz w:val="22"/>
          <w:szCs w:val="22"/>
        </w:rPr>
        <w:t>„Kontakty zaznamenaly výrazně vyšší nejistotu ohledně výhledu, široce se ozýval postoj vyčkávání. Jako protivětry pro hospodářskou aktivitu byly uváděny snížená nabídka pracovních sil v důsledku přísnější imigrační politiky, zvýšené náklady v důsledku cel a snížené vládní výdaje, zatímco potenciální deregulace a snížení korporátních daní byly považovány za protivětry.“</w:t>
      </w:r>
    </w:p>
    <w:p w14:paraId="045C200F" w14:textId="77777777" w:rsidR="00772DDA" w:rsidRPr="00DD2618" w:rsidRDefault="00772DDA" w:rsidP="00DD2618">
      <w:pPr>
        <w:spacing w:line="360" w:lineRule="auto"/>
        <w:jc w:val="both"/>
        <w:rPr>
          <w:rFonts w:ascii="Invesco Interstate Light" w:eastAsiaTheme="minorEastAsia" w:hAnsi="Invesco Interstate Light"/>
          <w:i/>
          <w:iCs/>
          <w:sz w:val="22"/>
          <w:szCs w:val="22"/>
        </w:rPr>
      </w:pPr>
    </w:p>
    <w:p w14:paraId="4F3FC074" w14:textId="77777777" w:rsidR="00DD2618" w:rsidRDefault="00DD2618" w:rsidP="00DD2618">
      <w:pPr>
        <w:spacing w:line="360" w:lineRule="auto"/>
        <w:jc w:val="both"/>
        <w:rPr>
          <w:rFonts w:ascii="Invesco Interstate Light" w:eastAsiaTheme="minorEastAsia" w:hAnsi="Invesco Interstate Light"/>
          <w:i/>
          <w:iCs/>
          <w:sz w:val="22"/>
          <w:szCs w:val="22"/>
        </w:rPr>
      </w:pPr>
      <w:r w:rsidRPr="00DD2618">
        <w:rPr>
          <w:rFonts w:ascii="Invesco Interstate Light" w:eastAsiaTheme="minorEastAsia" w:hAnsi="Invesco Interstate Light"/>
          <w:i/>
          <w:iCs/>
          <w:sz w:val="22"/>
          <w:szCs w:val="22"/>
        </w:rPr>
        <w:t>„Kontakty ve zpracovatelském průmyslu, od petrochemických výrobků po kancelářské vybavení, vyjádřily obavy z možného dopadu hrozících změn obchodní politiky.“</w:t>
      </w:r>
    </w:p>
    <w:p w14:paraId="36B3B55D" w14:textId="77777777" w:rsidR="00772DDA" w:rsidRPr="00DD2618" w:rsidRDefault="00772DDA" w:rsidP="00DD2618">
      <w:pPr>
        <w:spacing w:line="360" w:lineRule="auto"/>
        <w:jc w:val="both"/>
        <w:rPr>
          <w:rFonts w:ascii="Invesco Interstate Light" w:eastAsiaTheme="minorEastAsia" w:hAnsi="Invesco Interstate Light"/>
          <w:i/>
          <w:iCs/>
          <w:sz w:val="22"/>
          <w:szCs w:val="22"/>
        </w:rPr>
      </w:pPr>
    </w:p>
    <w:p w14:paraId="5BC7050B" w14:textId="77777777" w:rsidR="00DD2618" w:rsidRDefault="00DD2618" w:rsidP="00DD2618">
      <w:pPr>
        <w:spacing w:line="360" w:lineRule="auto"/>
        <w:jc w:val="both"/>
        <w:rPr>
          <w:rFonts w:ascii="Invesco Interstate Light" w:eastAsiaTheme="minorEastAsia" w:hAnsi="Invesco Interstate Light"/>
          <w:i/>
          <w:iCs/>
          <w:sz w:val="22"/>
          <w:szCs w:val="22"/>
        </w:rPr>
      </w:pPr>
      <w:r w:rsidRPr="00DD2618">
        <w:rPr>
          <w:rFonts w:ascii="Invesco Interstate Light" w:eastAsiaTheme="minorEastAsia" w:hAnsi="Invesco Interstate Light"/>
          <w:i/>
          <w:iCs/>
          <w:sz w:val="22"/>
          <w:szCs w:val="22"/>
        </w:rPr>
        <w:t xml:space="preserve">„Některé kontakty v tomto odvětví také vyjádřily nervozitu z dopadu potenciálních cel na ceny dřeva a dalších materiálů.“   </w:t>
      </w:r>
    </w:p>
    <w:p w14:paraId="788D939C" w14:textId="77777777" w:rsidR="00772DDA" w:rsidRPr="00DD2618" w:rsidRDefault="00772DDA" w:rsidP="00DD2618">
      <w:pPr>
        <w:spacing w:line="360" w:lineRule="auto"/>
        <w:jc w:val="both"/>
        <w:rPr>
          <w:rFonts w:ascii="Invesco Interstate Light" w:eastAsiaTheme="minorEastAsia" w:hAnsi="Invesco Interstate Light"/>
          <w:i/>
          <w:iCs/>
          <w:sz w:val="22"/>
          <w:szCs w:val="22"/>
        </w:rPr>
      </w:pPr>
    </w:p>
    <w:p w14:paraId="7D196E34" w14:textId="77777777" w:rsidR="00DD2618" w:rsidRDefault="00DD2618" w:rsidP="00DD2618">
      <w:pPr>
        <w:spacing w:line="360" w:lineRule="auto"/>
        <w:jc w:val="both"/>
        <w:rPr>
          <w:rFonts w:ascii="Invesco Interstate Light" w:eastAsiaTheme="minorEastAsia" w:hAnsi="Invesco Interstate Light"/>
          <w:i/>
          <w:iCs/>
          <w:sz w:val="22"/>
          <w:szCs w:val="22"/>
        </w:rPr>
      </w:pPr>
      <w:r w:rsidRPr="00DD2618">
        <w:rPr>
          <w:rFonts w:ascii="Invesco Interstate Light" w:eastAsiaTheme="minorEastAsia" w:hAnsi="Invesco Interstate Light"/>
          <w:i/>
          <w:iCs/>
          <w:sz w:val="22"/>
          <w:szCs w:val="22"/>
        </w:rPr>
        <w:t>„Několik kontaktů váhalo s najímáním zaměstnanců kvůli nejistotě ohledně toho, jak by změny politiky federální vlády mohly ovlivnit ekonomiku.“</w:t>
      </w:r>
    </w:p>
    <w:p w14:paraId="19810183" w14:textId="77777777" w:rsidR="00772DDA" w:rsidRPr="00DD2618" w:rsidRDefault="00772DDA" w:rsidP="00DD2618">
      <w:pPr>
        <w:spacing w:line="360" w:lineRule="auto"/>
        <w:jc w:val="both"/>
        <w:rPr>
          <w:rFonts w:ascii="Invesco Interstate Light" w:eastAsiaTheme="minorEastAsia" w:hAnsi="Invesco Interstate Light"/>
          <w:i/>
          <w:iCs/>
          <w:sz w:val="22"/>
          <w:szCs w:val="22"/>
        </w:rPr>
      </w:pPr>
    </w:p>
    <w:p w14:paraId="7C3006BA" w14:textId="77777777" w:rsidR="00772DDA" w:rsidRDefault="00DD2618" w:rsidP="00772DDA">
      <w:pPr>
        <w:spacing w:line="360" w:lineRule="auto"/>
        <w:jc w:val="both"/>
        <w:rPr>
          <w:rFonts w:ascii="Invesco Interstate Light" w:eastAsiaTheme="minorEastAsia" w:hAnsi="Invesco Interstate Light"/>
          <w:i/>
          <w:iCs/>
          <w:sz w:val="22"/>
          <w:szCs w:val="22"/>
        </w:rPr>
      </w:pPr>
      <w:r w:rsidRPr="00DD2618">
        <w:rPr>
          <w:rFonts w:ascii="Invesco Interstate Light" w:eastAsiaTheme="minorEastAsia" w:hAnsi="Invesco Interstate Light"/>
          <w:i/>
          <w:iCs/>
          <w:sz w:val="22"/>
          <w:szCs w:val="22"/>
        </w:rPr>
        <w:t>„Objem služebních a skupinových cest se výrazně snížil, přičemž jeden z kontaktů v oblasti pohostinství v jižní Kalifornii hlásil řadu zrušených služebních cest skupin, které byly ovlivněny nedávnými změnami ve financování federální vlády.“</w:t>
      </w:r>
    </w:p>
    <w:p w14:paraId="7B9C06F3" w14:textId="77777777" w:rsidR="00772DDA" w:rsidRDefault="00772DDA" w:rsidP="00772DDA">
      <w:pPr>
        <w:spacing w:line="360" w:lineRule="auto"/>
        <w:jc w:val="both"/>
        <w:rPr>
          <w:rFonts w:ascii="Invesco Interstate Light" w:eastAsiaTheme="minorEastAsia" w:hAnsi="Invesco Interstate Light"/>
          <w:i/>
          <w:iCs/>
          <w:sz w:val="22"/>
          <w:szCs w:val="22"/>
        </w:rPr>
      </w:pPr>
    </w:p>
    <w:p w14:paraId="0D2BCB2F" w14:textId="3D8F90C5" w:rsidR="00CC22BC" w:rsidRDefault="00DD2618" w:rsidP="00772DDA">
      <w:pPr>
        <w:spacing w:line="360" w:lineRule="auto"/>
        <w:jc w:val="both"/>
        <w:rPr>
          <w:rFonts w:ascii="Invesco Interstate Light" w:hAnsi="Invesco Interstate Light"/>
          <w:b/>
          <w:bCs/>
          <w:sz w:val="22"/>
          <w:szCs w:val="22"/>
        </w:rPr>
      </w:pPr>
      <w:r>
        <w:rPr>
          <w:rFonts w:ascii="Invesco Interstate Light" w:hAnsi="Invesco Interstate Light"/>
          <w:b/>
          <w:bCs/>
          <w:sz w:val="22"/>
          <w:szCs w:val="22"/>
        </w:rPr>
        <w:lastRenderedPageBreak/>
        <w:t>Bude tento trend pokračovat?</w:t>
      </w:r>
    </w:p>
    <w:p w14:paraId="0746D316" w14:textId="77777777" w:rsidR="00772DDA" w:rsidRPr="00772DDA" w:rsidRDefault="00772DDA" w:rsidP="00772DDA">
      <w:pPr>
        <w:spacing w:line="360" w:lineRule="auto"/>
        <w:jc w:val="both"/>
        <w:rPr>
          <w:rFonts w:ascii="Invesco Interstate Light" w:eastAsiaTheme="minorEastAsia" w:hAnsi="Invesco Interstate Light"/>
          <w:i/>
          <w:iCs/>
          <w:sz w:val="22"/>
          <w:szCs w:val="22"/>
        </w:rPr>
      </w:pPr>
    </w:p>
    <w:p w14:paraId="4AC542C5" w14:textId="77777777" w:rsidR="00DD2618" w:rsidRDefault="00DD2618" w:rsidP="00DD2618">
      <w:pPr>
        <w:spacing w:line="360" w:lineRule="auto"/>
        <w:jc w:val="both"/>
        <w:rPr>
          <w:rFonts w:ascii="Invesco Interstate Light" w:eastAsiaTheme="minorEastAsia" w:hAnsi="Invesco Interstate Light"/>
          <w:sz w:val="22"/>
          <w:szCs w:val="22"/>
        </w:rPr>
      </w:pPr>
      <w:r w:rsidRPr="00DD2618">
        <w:rPr>
          <w:rFonts w:ascii="Invesco Interstate Light" w:eastAsiaTheme="minorEastAsia" w:hAnsi="Invesco Interstate Light"/>
          <w:sz w:val="22"/>
          <w:szCs w:val="22"/>
        </w:rPr>
        <w:t>Přestože se pravděpodobnost recese výrazně zvýšila, nemáme dostatek informací, abychom mohli říci, zda se americká ekonomika dostane do recese, či nikoli. Hodně bude záležet na rozsahu budoucích škrtů vládních výdajů. Recese není hotovou věcí – zatím.</w:t>
      </w:r>
    </w:p>
    <w:p w14:paraId="54AC7479" w14:textId="77777777" w:rsidR="00DD2618" w:rsidRDefault="00DD2618" w:rsidP="00DD2618">
      <w:pPr>
        <w:spacing w:line="276" w:lineRule="auto"/>
        <w:rPr>
          <w:rFonts w:ascii="Invesco Interstate Light" w:eastAsiaTheme="minorEastAsia" w:hAnsi="Invesco Interstate Light"/>
          <w:sz w:val="22"/>
          <w:szCs w:val="22"/>
        </w:rPr>
      </w:pPr>
    </w:p>
    <w:p w14:paraId="4DE3E00D" w14:textId="77777777" w:rsidR="00DD2618" w:rsidRPr="00DD2618" w:rsidRDefault="00DD2618" w:rsidP="00DD2618">
      <w:pPr>
        <w:spacing w:line="360" w:lineRule="auto"/>
        <w:jc w:val="both"/>
        <w:rPr>
          <w:rFonts w:ascii="Invesco Interstate Light" w:eastAsiaTheme="minorEastAsia" w:hAnsi="Invesco Interstate Light"/>
          <w:sz w:val="22"/>
          <w:szCs w:val="22"/>
        </w:rPr>
      </w:pPr>
      <w:r w:rsidRPr="00DD2618">
        <w:rPr>
          <w:rFonts w:ascii="Invesco Interstate Light" w:eastAsiaTheme="minorEastAsia" w:hAnsi="Invesco Interstate Light"/>
          <w:sz w:val="22"/>
          <w:szCs w:val="22"/>
        </w:rPr>
        <w:t>Vzhledem k tomu si myslím, že lepší výkonnost evropských akciových trhů oproti americkým akciím bude v letošním roce pravděpodobně pokračovat. Domnívám se, že klíčovým faktorem do budoucna bude změna fiskálních impulsů pro ekonomiky příslušných trhů. Budeme to sledovat.</w:t>
      </w:r>
    </w:p>
    <w:p w14:paraId="2F505A5A" w14:textId="2AC5B67E" w:rsidR="00DD2618" w:rsidRDefault="00595315" w:rsidP="00595315">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rPr>
        <w:br/>
      </w:r>
      <w:r w:rsidR="00DD2618">
        <w:rPr>
          <w:rFonts w:ascii="Invesco Interstate Light" w:hAnsi="Invesco Interstate Light"/>
          <w:b/>
          <w:bCs/>
          <w:sz w:val="22"/>
          <w:szCs w:val="22"/>
        </w:rPr>
        <w:t>Co se bude dít dál?</w:t>
      </w:r>
    </w:p>
    <w:p w14:paraId="28C3A913" w14:textId="77777777" w:rsidR="00DD2618" w:rsidRPr="00DD2618" w:rsidRDefault="00595315" w:rsidP="00DD2618">
      <w:pPr>
        <w:spacing w:line="360" w:lineRule="auto"/>
        <w:jc w:val="both"/>
        <w:rPr>
          <w:rFonts w:ascii="Invesco Interstate Light" w:eastAsiaTheme="minorEastAsia" w:hAnsi="Invesco Interstate Light"/>
          <w:sz w:val="22"/>
          <w:szCs w:val="22"/>
        </w:rPr>
      </w:pPr>
      <w:r>
        <w:rPr>
          <w:rFonts w:ascii="Invesco Interstate Light" w:hAnsi="Invesco Interstate Light"/>
          <w:b/>
          <w:bCs/>
          <w:sz w:val="22"/>
          <w:szCs w:val="22"/>
        </w:rPr>
        <w:t xml:space="preserve"> </w:t>
      </w:r>
      <w:r>
        <w:rPr>
          <w:rFonts w:ascii="Invesco Interstate Light" w:eastAsiaTheme="minorEastAsia" w:hAnsi="Invesco Interstate Light"/>
          <w:sz w:val="22"/>
          <w:szCs w:val="22"/>
        </w:rPr>
        <w:br/>
      </w:r>
      <w:r w:rsidR="00DD2618" w:rsidRPr="00DD2618">
        <w:rPr>
          <w:rFonts w:ascii="Invesco Interstate Light" w:eastAsiaTheme="minorEastAsia" w:hAnsi="Invesco Interstate Light"/>
          <w:sz w:val="22"/>
          <w:szCs w:val="22"/>
        </w:rPr>
        <w:t>Současné financování americké vlády končí 14. března a musí být prodlouženo politicky nejednotným americkým Kongresem, což by mohlo vést k omezení chodu vlády a samozřejmě ke krátkodobé nejistotě a volatilitě. Také budeme pozorně sledovat snahy evropských představitelů o zvýšení deficitních výdajů na úhradu zvýšených nákladů na obranu. Dočkáme se také dat o americkém indexu spotřebitelských cen, i když si troufám tvrdit, že inflace se v tuto chvíli stala druhořadým problémem vzhledem k probíhajícímu strašení růstem v USA.</w:t>
      </w:r>
    </w:p>
    <w:p w14:paraId="69B85877" w14:textId="753A096D" w:rsidR="00595315" w:rsidRPr="00DD2618" w:rsidRDefault="00595315" w:rsidP="00DD2618">
      <w:pPr>
        <w:autoSpaceDE w:val="0"/>
        <w:autoSpaceDN w:val="0"/>
        <w:adjustRightInd w:val="0"/>
        <w:spacing w:line="360" w:lineRule="auto"/>
        <w:jc w:val="both"/>
        <w:rPr>
          <w:rFonts w:ascii="Invesco Interstate Light" w:eastAsiaTheme="minorEastAsia" w:hAnsi="Invesco Interstate Light"/>
          <w:sz w:val="22"/>
          <w:szCs w:val="22"/>
        </w:rPr>
      </w:pPr>
    </w:p>
    <w:p w14:paraId="7A3C24B0" w14:textId="77777777" w:rsidR="00DD2618" w:rsidRPr="00DD2618" w:rsidRDefault="00DD2618" w:rsidP="00DD2618">
      <w:pPr>
        <w:spacing w:line="360" w:lineRule="auto"/>
        <w:jc w:val="both"/>
        <w:rPr>
          <w:rFonts w:ascii="Invesco Interstate Light" w:eastAsiaTheme="minorEastAsia" w:hAnsi="Invesco Interstate Light"/>
          <w:sz w:val="22"/>
          <w:szCs w:val="22"/>
        </w:rPr>
      </w:pPr>
      <w:r w:rsidRPr="00DD2618">
        <w:rPr>
          <w:rFonts w:ascii="Invesco Interstate Light" w:eastAsiaTheme="minorEastAsia" w:hAnsi="Invesco Interstate Light"/>
          <w:sz w:val="22"/>
          <w:szCs w:val="22"/>
        </w:rPr>
        <w:t>Zachovejte klid, mějte své portfolio diversifikované a mějte na paměti svůj investiční časový horizont, když sledujete titulky, které mohou být znepokojivé a zvedat vám žaludek.</w:t>
      </w:r>
    </w:p>
    <w:p w14:paraId="20C2B823" w14:textId="77777777" w:rsidR="00595315" w:rsidRDefault="00595315" w:rsidP="00595315">
      <w:pPr>
        <w:spacing w:line="360" w:lineRule="auto"/>
        <w:jc w:val="both"/>
        <w:rPr>
          <w:rFonts w:ascii="Invesco Interstate Light" w:eastAsiaTheme="minorEastAsia" w:hAnsi="Invesco Interstate Light"/>
          <w:sz w:val="22"/>
          <w:szCs w:val="22"/>
        </w:rPr>
      </w:pPr>
    </w:p>
    <w:p w14:paraId="408D8C9F" w14:textId="77777777" w:rsidR="00036240" w:rsidRDefault="00036240" w:rsidP="00651AAE">
      <w:pPr>
        <w:autoSpaceDE w:val="0"/>
        <w:autoSpaceDN w:val="0"/>
        <w:adjustRightInd w:val="0"/>
        <w:spacing w:line="240" w:lineRule="auto"/>
        <w:rPr>
          <w:rFonts w:ascii="Invesco Interstate Light" w:hAnsi="Invesco Interstate Light"/>
        </w:rPr>
      </w:pPr>
    </w:p>
    <w:p w14:paraId="11588B8D"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CEE6742"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30FC09F2"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501660E1"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058F7B06"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C6F3C2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02631C4E"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2F418D1E"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0CF74E6"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1C43A20"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6A957594" w14:textId="77777777" w:rsidR="00772DDA" w:rsidRDefault="00772DDA" w:rsidP="00651AAE">
      <w:pPr>
        <w:autoSpaceDE w:val="0"/>
        <w:autoSpaceDN w:val="0"/>
        <w:adjustRightInd w:val="0"/>
        <w:spacing w:line="240" w:lineRule="auto"/>
        <w:rPr>
          <w:rFonts w:ascii="Invesco Interstate Light" w:hAnsi="Invesco Interstate Light"/>
          <w:b/>
          <w:bCs/>
          <w:sz w:val="22"/>
          <w:szCs w:val="22"/>
        </w:rPr>
      </w:pPr>
    </w:p>
    <w:p w14:paraId="4FF6BBA9"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lastRenderedPageBreak/>
        <w:t xml:space="preserve">O společnosti </w:t>
      </w:r>
      <w:proofErr w:type="spellStart"/>
      <w:r w:rsidRPr="00654055">
        <w:rPr>
          <w:rFonts w:ascii="Invesco Interstate Light" w:hAnsi="Invesco Interstate Light"/>
          <w:b/>
          <w:bCs/>
          <w:sz w:val="22"/>
          <w:szCs w:val="22"/>
        </w:rPr>
        <w:t>Invesco</w:t>
      </w:r>
      <w:proofErr w:type="spellEnd"/>
    </w:p>
    <w:p w14:paraId="478A2629"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19E6DA4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8516290"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753EF6B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B8ACFFA"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67595E0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A79BCF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5B540C73"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426E901D"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69B7770"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3541C16E"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36A66637"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8AC09DF" w14:textId="77777777" w:rsidR="00861B48" w:rsidRPr="00861B48" w:rsidRDefault="00861B48" w:rsidP="00861B48">
      <w:pPr>
        <w:spacing w:line="240" w:lineRule="auto"/>
        <w:rPr>
          <w:rFonts w:ascii="Invesco Interstate Light" w:hAnsi="Invesco Interstate Light"/>
          <w:b/>
          <w:sz w:val="22"/>
          <w:szCs w:val="22"/>
          <w:u w:val="single"/>
        </w:rPr>
      </w:pPr>
    </w:p>
    <w:p w14:paraId="6B038B32"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1FFFF8B"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54FB2D12" w14:textId="77777777" w:rsidR="002355DD" w:rsidRPr="00873CBF" w:rsidRDefault="002355DD" w:rsidP="002355DD">
      <w:pPr>
        <w:spacing w:line="240" w:lineRule="exact"/>
        <w:rPr>
          <w:rFonts w:ascii="Invesco Interstate Light" w:hAnsi="Invesco Interstate Light"/>
          <w:sz w:val="22"/>
          <w:szCs w:val="22"/>
        </w:rPr>
      </w:pPr>
    </w:p>
    <w:p w14:paraId="42FCE08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7A3DCB51"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2FADD870"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3B551DD3"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AD753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9B1A4" w14:textId="77777777" w:rsidR="00231F44" w:rsidRDefault="00231F44">
      <w:r>
        <w:separator/>
      </w:r>
    </w:p>
  </w:endnote>
  <w:endnote w:type="continuationSeparator" w:id="0">
    <w:p w14:paraId="0CF16F98" w14:textId="77777777" w:rsidR="00231F44" w:rsidRDefault="00231F44">
      <w:r>
        <w:continuationSeparator/>
      </w:r>
    </w:p>
  </w:endnote>
  <w:endnote w:type="continuationNotice" w:id="1">
    <w:p w14:paraId="753C90BD" w14:textId="77777777" w:rsidR="00231F44" w:rsidRDefault="00231F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8D4A8" w14:textId="77777777" w:rsidR="00231F44" w:rsidRDefault="00231F44">
      <w:r>
        <w:separator/>
      </w:r>
    </w:p>
  </w:footnote>
  <w:footnote w:type="continuationSeparator" w:id="0">
    <w:p w14:paraId="7AA9C09F" w14:textId="77777777" w:rsidR="00231F44" w:rsidRDefault="00231F44">
      <w:r>
        <w:continuationSeparator/>
      </w:r>
    </w:p>
  </w:footnote>
  <w:footnote w:type="continuationNotice" w:id="1">
    <w:p w14:paraId="4E9EF710" w14:textId="77777777" w:rsidR="00231F44" w:rsidRDefault="00231F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C7C3"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02340A20" wp14:editId="21752E4A">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proofErr w:type="spellStart"/>
    <w:r w:rsidR="59A5D358">
      <w:rPr>
        <w:rFonts w:ascii="Invesco Interstate Bold" w:hAnsi="Invesco Interstate Bold"/>
        <w:sz w:val="28"/>
        <w:szCs w:val="28"/>
      </w:rPr>
      <w:t>Press</w:t>
    </w:r>
    <w:proofErr w:type="spellEnd"/>
    <w:r w:rsidR="59A5D358">
      <w:rPr>
        <w:rFonts w:ascii="Invesco Interstate Bold" w:hAnsi="Invesco Interstate Bold"/>
        <w:sz w:val="28"/>
        <w:szCs w:val="28"/>
      </w:rPr>
      <w:t xml:space="preserve"> </w:t>
    </w:r>
    <w:proofErr w:type="spellStart"/>
    <w:r w:rsidR="59A5D358">
      <w:rPr>
        <w:rFonts w:ascii="Invesco Interstate Bold" w:hAnsi="Invesco Interstate Bold"/>
        <w:sz w:val="28"/>
        <w:szCs w:val="28"/>
      </w:rPr>
      <w:t>release</w:t>
    </w:r>
    <w:proofErr w:type="spellEnd"/>
  </w:p>
  <w:p w14:paraId="7FBA5F2D"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BE22B4C" w14:textId="58C5381B" w:rsidR="00702C33" w:rsidRPr="000730A6" w:rsidRDefault="005A7AAB" w:rsidP="0083625E">
    <w:pPr>
      <w:pStyle w:val="Zhlav"/>
      <w:pBdr>
        <w:top w:val="single" w:sz="4" w:space="3" w:color="auto"/>
      </w:pBdr>
      <w:spacing w:line="298" w:lineRule="exact"/>
      <w:ind w:left="3402"/>
      <w:jc w:val="right"/>
      <w:rPr>
        <w:color w:val="000000"/>
        <w:sz w:val="28"/>
        <w:szCs w:val="28"/>
      </w:rPr>
    </w:pPr>
    <w:r>
      <w:rPr>
        <w:color w:val="000000"/>
        <w:sz w:val="28"/>
        <w:szCs w:val="28"/>
      </w:rPr>
      <w:t>13</w:t>
    </w:r>
    <w:r w:rsidR="0083625E">
      <w:rPr>
        <w:color w:val="000000"/>
        <w:sz w:val="28"/>
        <w:szCs w:val="28"/>
      </w:rPr>
      <w:t>.</w:t>
    </w:r>
    <w:r w:rsidR="00AC2D81">
      <w:rPr>
        <w:color w:val="000000"/>
        <w:sz w:val="28"/>
        <w:szCs w:val="28"/>
      </w:rPr>
      <w:t>0</w:t>
    </w:r>
    <w:r>
      <w:rPr>
        <w:color w:val="000000"/>
        <w:sz w:val="28"/>
        <w:szCs w:val="28"/>
      </w:rPr>
      <w:t>3</w:t>
    </w:r>
    <w:r w:rsidR="0083625E">
      <w:rPr>
        <w:color w:val="000000"/>
        <w:sz w:val="28"/>
        <w:szCs w:val="28"/>
      </w:rPr>
      <w:t>.202</w:t>
    </w:r>
    <w:r w:rsidR="00AC2D81">
      <w:rPr>
        <w:color w:val="000000"/>
        <w:sz w:val="28"/>
        <w:szCs w:val="28"/>
      </w:rPr>
      <w:t>5</w:t>
    </w:r>
  </w:p>
  <w:p w14:paraId="1EA3D675"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6703C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210972E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28A51A1"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267334"/>
    <w:multiLevelType w:val="hybridMultilevel"/>
    <w:tmpl w:val="E1507D86"/>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BA6B42"/>
    <w:multiLevelType w:val="hybridMultilevel"/>
    <w:tmpl w:val="43C08F5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1D174141"/>
    <w:multiLevelType w:val="hybridMultilevel"/>
    <w:tmpl w:val="D6784764"/>
    <w:lvl w:ilvl="0" w:tplc="04050001">
      <w:start w:val="1"/>
      <w:numFmt w:val="bullet"/>
      <w:lvlText w:val=""/>
      <w:lvlJc w:val="left"/>
      <w:pPr>
        <w:ind w:left="720" w:hanging="360"/>
      </w:pPr>
      <w:rPr>
        <w:rFonts w:ascii="Symbol" w:hAnsi="Symbol" w:hint="default"/>
      </w:rPr>
    </w:lvl>
    <w:lvl w:ilvl="1" w:tplc="426223F8">
      <w:numFmt w:val="bullet"/>
      <w:lvlText w:val="-"/>
      <w:lvlJc w:val="left"/>
      <w:pPr>
        <w:ind w:left="1440" w:hanging="360"/>
      </w:pPr>
      <w:rPr>
        <w:rFonts w:ascii="Invesco Interstate Light" w:eastAsiaTheme="minorEastAsia" w:hAnsi="Invesco Interstate 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5A149A"/>
    <w:multiLevelType w:val="hybridMultilevel"/>
    <w:tmpl w:val="49C69EA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2A31DB"/>
    <w:multiLevelType w:val="hybridMultilevel"/>
    <w:tmpl w:val="F550C1C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C671E6"/>
    <w:multiLevelType w:val="hybridMultilevel"/>
    <w:tmpl w:val="1C8EFA80"/>
    <w:lvl w:ilvl="0" w:tplc="04050001">
      <w:start w:val="1"/>
      <w:numFmt w:val="bullet"/>
      <w:lvlText w:val=""/>
      <w:lvlJc w:val="left"/>
      <w:pPr>
        <w:ind w:left="720" w:hanging="360"/>
      </w:pPr>
      <w:rPr>
        <w:rFonts w:ascii="Symbol" w:hAnsi="Symbol" w:hint="default"/>
      </w:rPr>
    </w:lvl>
    <w:lvl w:ilvl="1" w:tplc="E97CBD4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B3101F"/>
    <w:multiLevelType w:val="hybridMultilevel"/>
    <w:tmpl w:val="CC76745C"/>
    <w:lvl w:ilvl="0" w:tplc="3AB0C2B2">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A46D70"/>
    <w:multiLevelType w:val="multilevel"/>
    <w:tmpl w:val="11820CCE"/>
    <w:numStyleLink w:val="FormatvorlageAufgezhlt"/>
  </w:abstractNum>
  <w:abstractNum w:abstractNumId="22"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BB94291"/>
    <w:multiLevelType w:val="hybridMultilevel"/>
    <w:tmpl w:val="E752F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630B23"/>
    <w:multiLevelType w:val="multilevel"/>
    <w:tmpl w:val="11820CCE"/>
    <w:numStyleLink w:val="FormatvorlageAufgezhlt"/>
  </w:abstractNum>
  <w:abstractNum w:abstractNumId="31"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45280C"/>
    <w:multiLevelType w:val="hybridMultilevel"/>
    <w:tmpl w:val="01D25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8B4344C"/>
    <w:multiLevelType w:val="hybridMultilevel"/>
    <w:tmpl w:val="92EAC8B4"/>
    <w:lvl w:ilvl="0" w:tplc="FF0ABBC8">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0009A4"/>
    <w:multiLevelType w:val="hybridMultilevel"/>
    <w:tmpl w:val="AF249296"/>
    <w:lvl w:ilvl="0" w:tplc="D56C1AA0">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FB2977"/>
    <w:multiLevelType w:val="hybridMultilevel"/>
    <w:tmpl w:val="47EA410E"/>
    <w:lvl w:ilvl="0" w:tplc="BC3488B6">
      <w:start w:val="27"/>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8E67E09"/>
    <w:multiLevelType w:val="hybridMultilevel"/>
    <w:tmpl w:val="B328A0F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D403C3"/>
    <w:multiLevelType w:val="multilevel"/>
    <w:tmpl w:val="11820CCE"/>
    <w:numStyleLink w:val="FormatvorlageAufgezhlt"/>
  </w:abstractNum>
  <w:abstractNum w:abstractNumId="46" w15:restartNumberingAfterBreak="0">
    <w:nsid w:val="6C6C4721"/>
    <w:multiLevelType w:val="multilevel"/>
    <w:tmpl w:val="11820CCE"/>
    <w:numStyleLink w:val="FormatvorlageAufgezhlt"/>
  </w:abstractNum>
  <w:abstractNum w:abstractNumId="47"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024771F"/>
    <w:multiLevelType w:val="hybridMultilevel"/>
    <w:tmpl w:val="45EA8F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4E5380B"/>
    <w:multiLevelType w:val="multilevel"/>
    <w:tmpl w:val="11820CCE"/>
    <w:numStyleLink w:val="FormatvorlageAufgezhlt"/>
  </w:abstractNum>
  <w:abstractNum w:abstractNumId="51"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DE4F09"/>
    <w:multiLevelType w:val="hybridMultilevel"/>
    <w:tmpl w:val="6E5AF154"/>
    <w:lvl w:ilvl="0" w:tplc="04050001">
      <w:start w:val="1"/>
      <w:numFmt w:val="bullet"/>
      <w:lvlText w:val=""/>
      <w:lvlJc w:val="left"/>
      <w:pPr>
        <w:ind w:left="720" w:hanging="360"/>
      </w:pPr>
      <w:rPr>
        <w:rFonts w:ascii="Symbol" w:hAnsi="Symbol" w:hint="default"/>
      </w:rPr>
    </w:lvl>
    <w:lvl w:ilvl="1" w:tplc="D01C82E0">
      <w:numFmt w:val="bullet"/>
      <w:lvlText w:val="-"/>
      <w:lvlJc w:val="left"/>
      <w:pPr>
        <w:ind w:left="1440" w:hanging="360"/>
      </w:pPr>
      <w:rPr>
        <w:rFonts w:ascii="Interstate-Light" w:eastAsia="Times New Roman" w:hAnsi="Interstate-Light" w:cs="Times New Roman" w:hint="default"/>
        <w:sz w:val="18"/>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80058407">
    <w:abstractNumId w:val="0"/>
  </w:num>
  <w:num w:numId="2" w16cid:durableId="1483155109">
    <w:abstractNumId w:val="23"/>
  </w:num>
  <w:num w:numId="3" w16cid:durableId="1058673432">
    <w:abstractNumId w:val="39"/>
  </w:num>
  <w:num w:numId="4" w16cid:durableId="1730423567">
    <w:abstractNumId w:val="25"/>
  </w:num>
  <w:num w:numId="5" w16cid:durableId="1333148149">
    <w:abstractNumId w:val="30"/>
  </w:num>
  <w:num w:numId="6" w16cid:durableId="314455825">
    <w:abstractNumId w:val="45"/>
  </w:num>
  <w:num w:numId="7" w16cid:durableId="731198378">
    <w:abstractNumId w:val="46"/>
  </w:num>
  <w:num w:numId="8" w16cid:durableId="1195004484">
    <w:abstractNumId w:val="1"/>
  </w:num>
  <w:num w:numId="9" w16cid:durableId="47461023">
    <w:abstractNumId w:val="50"/>
  </w:num>
  <w:num w:numId="10" w16cid:durableId="1088232992">
    <w:abstractNumId w:val="21"/>
  </w:num>
  <w:num w:numId="11" w16cid:durableId="596720224">
    <w:abstractNumId w:val="5"/>
  </w:num>
  <w:num w:numId="12" w16cid:durableId="11818905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0141965">
    <w:abstractNumId w:val="55"/>
  </w:num>
  <w:num w:numId="14" w16cid:durableId="433985897">
    <w:abstractNumId w:val="56"/>
  </w:num>
  <w:num w:numId="15" w16cid:durableId="859778437">
    <w:abstractNumId w:val="38"/>
  </w:num>
  <w:num w:numId="16" w16cid:durableId="1185170297">
    <w:abstractNumId w:val="9"/>
  </w:num>
  <w:num w:numId="17" w16cid:durableId="1553468409">
    <w:abstractNumId w:val="2"/>
  </w:num>
  <w:num w:numId="18" w16cid:durableId="2045514728">
    <w:abstractNumId w:val="44"/>
  </w:num>
  <w:num w:numId="19" w16cid:durableId="2025092752">
    <w:abstractNumId w:val="47"/>
  </w:num>
  <w:num w:numId="20" w16cid:durableId="1183128137">
    <w:abstractNumId w:val="53"/>
  </w:num>
  <w:num w:numId="21" w16cid:durableId="1771581749">
    <w:abstractNumId w:val="52"/>
  </w:num>
  <w:num w:numId="22" w16cid:durableId="1104567758">
    <w:abstractNumId w:val="20"/>
  </w:num>
  <w:num w:numId="23" w16cid:durableId="106583224">
    <w:abstractNumId w:val="36"/>
  </w:num>
  <w:num w:numId="24" w16cid:durableId="999164007">
    <w:abstractNumId w:val="27"/>
  </w:num>
  <w:num w:numId="25" w16cid:durableId="730884105">
    <w:abstractNumId w:val="54"/>
  </w:num>
  <w:num w:numId="26" w16cid:durableId="892352369">
    <w:abstractNumId w:val="33"/>
  </w:num>
  <w:num w:numId="27" w16cid:durableId="1829445642">
    <w:abstractNumId w:val="3"/>
  </w:num>
  <w:num w:numId="28" w16cid:durableId="237179842">
    <w:abstractNumId w:val="7"/>
  </w:num>
  <w:num w:numId="29" w16cid:durableId="1106922947">
    <w:abstractNumId w:val="51"/>
  </w:num>
  <w:num w:numId="30" w16cid:durableId="1370059916">
    <w:abstractNumId w:val="31"/>
  </w:num>
  <w:num w:numId="31" w16cid:durableId="1332021732">
    <w:abstractNumId w:val="32"/>
  </w:num>
  <w:num w:numId="32" w16cid:durableId="1599289510">
    <w:abstractNumId w:val="11"/>
  </w:num>
  <w:num w:numId="33" w16cid:durableId="123156381">
    <w:abstractNumId w:val="48"/>
  </w:num>
  <w:num w:numId="34" w16cid:durableId="74061241">
    <w:abstractNumId w:val="24"/>
  </w:num>
  <w:num w:numId="35" w16cid:durableId="454254969">
    <w:abstractNumId w:val="17"/>
  </w:num>
  <w:num w:numId="36" w16cid:durableId="1851555716">
    <w:abstractNumId w:val="16"/>
  </w:num>
  <w:num w:numId="37" w16cid:durableId="629167241">
    <w:abstractNumId w:val="22"/>
  </w:num>
  <w:num w:numId="38" w16cid:durableId="629282308">
    <w:abstractNumId w:val="26"/>
  </w:num>
  <w:num w:numId="39" w16cid:durableId="914512492">
    <w:abstractNumId w:val="6"/>
  </w:num>
  <w:num w:numId="40" w16cid:durableId="1909345610">
    <w:abstractNumId w:val="41"/>
  </w:num>
  <w:num w:numId="41" w16cid:durableId="331569117">
    <w:abstractNumId w:val="28"/>
  </w:num>
  <w:num w:numId="42" w16cid:durableId="346760006">
    <w:abstractNumId w:val="18"/>
  </w:num>
  <w:num w:numId="43" w16cid:durableId="643899494">
    <w:abstractNumId w:val="43"/>
  </w:num>
  <w:num w:numId="44" w16cid:durableId="1087651064">
    <w:abstractNumId w:val="15"/>
  </w:num>
  <w:num w:numId="45" w16cid:durableId="93399324">
    <w:abstractNumId w:val="29"/>
  </w:num>
  <w:num w:numId="46" w16cid:durableId="1446997153">
    <w:abstractNumId w:val="19"/>
  </w:num>
  <w:num w:numId="47" w16cid:durableId="41251674">
    <w:abstractNumId w:val="8"/>
  </w:num>
  <w:num w:numId="48" w16cid:durableId="2013675022">
    <w:abstractNumId w:val="49"/>
  </w:num>
  <w:num w:numId="49" w16cid:durableId="320428871">
    <w:abstractNumId w:val="35"/>
  </w:num>
  <w:num w:numId="50" w16cid:durableId="1576622729">
    <w:abstractNumId w:val="14"/>
  </w:num>
  <w:num w:numId="51" w16cid:durableId="919368368">
    <w:abstractNumId w:val="10"/>
  </w:num>
  <w:num w:numId="52" w16cid:durableId="1207447877">
    <w:abstractNumId w:val="40"/>
  </w:num>
  <w:num w:numId="53" w16cid:durableId="476186623">
    <w:abstractNumId w:val="12"/>
  </w:num>
  <w:num w:numId="54" w16cid:durableId="669210282">
    <w:abstractNumId w:val="57"/>
  </w:num>
  <w:num w:numId="55" w16cid:durableId="1431462263">
    <w:abstractNumId w:val="4"/>
  </w:num>
  <w:num w:numId="56" w16cid:durableId="173420689">
    <w:abstractNumId w:val="34"/>
  </w:num>
  <w:num w:numId="57" w16cid:durableId="912930027">
    <w:abstractNumId w:val="37"/>
  </w:num>
  <w:num w:numId="58" w16cid:durableId="177158165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3DC9"/>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47C"/>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56F49"/>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382"/>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1F44"/>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276"/>
    <w:rsid w:val="004C57BF"/>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388"/>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5EEF"/>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3E64"/>
    <w:rsid w:val="00583E97"/>
    <w:rsid w:val="0058416E"/>
    <w:rsid w:val="00584652"/>
    <w:rsid w:val="005859BC"/>
    <w:rsid w:val="00585B1F"/>
    <w:rsid w:val="00586060"/>
    <w:rsid w:val="005860E7"/>
    <w:rsid w:val="005872CC"/>
    <w:rsid w:val="00587953"/>
    <w:rsid w:val="00587B38"/>
    <w:rsid w:val="00587FAB"/>
    <w:rsid w:val="005909A0"/>
    <w:rsid w:val="00591615"/>
    <w:rsid w:val="0059275D"/>
    <w:rsid w:val="00592B5E"/>
    <w:rsid w:val="00593543"/>
    <w:rsid w:val="005939A2"/>
    <w:rsid w:val="005943E7"/>
    <w:rsid w:val="00594EC0"/>
    <w:rsid w:val="005950FB"/>
    <w:rsid w:val="00595315"/>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AAB"/>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D63"/>
    <w:rsid w:val="00621F2F"/>
    <w:rsid w:val="00624577"/>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4EA9"/>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A3C"/>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4AE"/>
    <w:rsid w:val="00734704"/>
    <w:rsid w:val="00735933"/>
    <w:rsid w:val="00735A1F"/>
    <w:rsid w:val="00735BED"/>
    <w:rsid w:val="00735F75"/>
    <w:rsid w:val="0073636B"/>
    <w:rsid w:val="0073678E"/>
    <w:rsid w:val="00740C90"/>
    <w:rsid w:val="00740E86"/>
    <w:rsid w:val="0074129E"/>
    <w:rsid w:val="00741E47"/>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2DDA"/>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3F36"/>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412A"/>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D7DCB"/>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CE9"/>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6F76"/>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0B0"/>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22E"/>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30A"/>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00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A86"/>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6F"/>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5524"/>
    <w:rsid w:val="00AB6933"/>
    <w:rsid w:val="00AB7C7C"/>
    <w:rsid w:val="00AB7E61"/>
    <w:rsid w:val="00AC039E"/>
    <w:rsid w:val="00AC04A1"/>
    <w:rsid w:val="00AC257A"/>
    <w:rsid w:val="00AC2D81"/>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33A"/>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038"/>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144"/>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8D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26CC"/>
    <w:rsid w:val="00BD27BA"/>
    <w:rsid w:val="00BD2ACF"/>
    <w:rsid w:val="00BD317F"/>
    <w:rsid w:val="00BD45CD"/>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3F4"/>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4F3"/>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2BC"/>
    <w:rsid w:val="00CC2959"/>
    <w:rsid w:val="00CC2A50"/>
    <w:rsid w:val="00CC2D55"/>
    <w:rsid w:val="00CC435D"/>
    <w:rsid w:val="00CC4520"/>
    <w:rsid w:val="00CC4E05"/>
    <w:rsid w:val="00CC5770"/>
    <w:rsid w:val="00CC5A77"/>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A33"/>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219"/>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3E97"/>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618"/>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1DE8"/>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2E1D"/>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2CC4"/>
    <w:rsid w:val="00EF341C"/>
    <w:rsid w:val="00EF3F50"/>
    <w:rsid w:val="00EF40A6"/>
    <w:rsid w:val="00EF4B3D"/>
    <w:rsid w:val="00EF4F89"/>
    <w:rsid w:val="00EF57ED"/>
    <w:rsid w:val="00EF6019"/>
    <w:rsid w:val="00EF6518"/>
    <w:rsid w:val="00EF6C86"/>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45E"/>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09C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D15"/>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AA00D"/>
  <w15:docId w15:val="{C447EA85-72E5-4D0F-AA7A-97079A62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1354</Words>
  <Characters>7994</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Eliška Krohová</cp:lastModifiedBy>
  <cp:revision>2</cp:revision>
  <cp:lastPrinted>2021-02-17T20:24:00Z</cp:lastPrinted>
  <dcterms:created xsi:type="dcterms:W3CDTF">2025-03-13T10:13:00Z</dcterms:created>
  <dcterms:modified xsi:type="dcterms:W3CDTF">2025-03-13T10:13:00Z</dcterms:modified>
</cp:coreProperties>
</file>